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46" w:type="dxa"/>
        <w:tblInd w:w="0" w:type="dxa"/>
        <w:tblLayout w:type="fixed"/>
        <w:tblCellMar>
          <w:top w:w="0" w:type="dxa"/>
          <w:left w:w="108" w:type="dxa"/>
          <w:bottom w:w="0" w:type="dxa"/>
          <w:right w:w="108" w:type="dxa"/>
        </w:tblCellMar>
      </w:tblPr>
      <w:tblGrid>
        <w:gridCol w:w="637"/>
        <w:gridCol w:w="253"/>
        <w:gridCol w:w="277"/>
        <w:gridCol w:w="168"/>
        <w:gridCol w:w="1929"/>
        <w:gridCol w:w="523"/>
        <w:gridCol w:w="733"/>
        <w:gridCol w:w="229"/>
        <w:gridCol w:w="479"/>
        <w:gridCol w:w="206"/>
        <w:gridCol w:w="1053"/>
        <w:gridCol w:w="515"/>
        <w:gridCol w:w="550"/>
        <w:gridCol w:w="1394"/>
      </w:tblGrid>
      <w:tr>
        <w:tblPrEx>
          <w:tblCellMar>
            <w:top w:w="0" w:type="dxa"/>
            <w:left w:w="108" w:type="dxa"/>
            <w:bottom w:w="0" w:type="dxa"/>
            <w:right w:w="108" w:type="dxa"/>
          </w:tblCellMar>
        </w:tblPrEx>
        <w:trPr>
          <w:trHeight w:val="408" w:hRule="atLeast"/>
        </w:trPr>
        <w:tc>
          <w:tcPr>
            <w:tcW w:w="8946" w:type="dxa"/>
            <w:gridSpan w:val="14"/>
            <w:vAlign w:val="center"/>
          </w:tcPr>
          <w:p>
            <w:pPr>
              <w:autoSpaceDN w:val="0"/>
              <w:spacing w:line="400" w:lineRule="exact"/>
              <w:jc w:val="left"/>
              <w:textAlignment w:val="center"/>
              <w:rPr>
                <w:rFonts w:ascii="黑体" w:hAnsi="黑体" w:eastAsia="黑体"/>
                <w:color w:val="000000"/>
              </w:rPr>
            </w:pPr>
            <w:r>
              <w:rPr>
                <w:rFonts w:ascii="黑体" w:hAnsi="黑体" w:eastAsia="黑体"/>
                <w:color w:val="000000"/>
                <w:sz w:val="32"/>
              </w:rPr>
              <w:t>附件4</w:t>
            </w:r>
          </w:p>
        </w:tc>
      </w:tr>
      <w:tr>
        <w:tblPrEx>
          <w:tblCellMar>
            <w:top w:w="0" w:type="dxa"/>
            <w:left w:w="108" w:type="dxa"/>
            <w:bottom w:w="0" w:type="dxa"/>
            <w:right w:w="108" w:type="dxa"/>
          </w:tblCellMar>
        </w:tblPrEx>
        <w:trPr>
          <w:trHeight w:val="624" w:hRule="atLeast"/>
        </w:trPr>
        <w:tc>
          <w:tcPr>
            <w:tcW w:w="8946" w:type="dxa"/>
            <w:gridSpan w:val="14"/>
            <w:vAlign w:val="center"/>
          </w:tcPr>
          <w:p>
            <w:pPr>
              <w:autoSpaceDN w:val="0"/>
              <w:spacing w:line="400" w:lineRule="exact"/>
              <w:jc w:val="center"/>
              <w:textAlignment w:val="center"/>
              <w:rPr>
                <w:rFonts w:ascii="仿宋" w:hAnsi="仿宋" w:eastAsia="仿宋"/>
                <w:b/>
                <w:color w:val="000000"/>
                <w:sz w:val="36"/>
              </w:rPr>
            </w:pPr>
            <w:r>
              <w:rPr>
                <w:rFonts w:hint="eastAsia" w:ascii="方正小标宋简体" w:hAnsi="方正小标宋简体" w:eastAsia="方正小标宋简体"/>
                <w:bCs/>
                <w:color w:val="000000"/>
                <w:sz w:val="36"/>
                <w:szCs w:val="36"/>
              </w:rPr>
              <w:t>部门整体支出绩效自评表</w:t>
            </w:r>
          </w:p>
        </w:tc>
      </w:tr>
      <w:tr>
        <w:tblPrEx>
          <w:tblCellMar>
            <w:top w:w="0" w:type="dxa"/>
            <w:left w:w="108" w:type="dxa"/>
            <w:bottom w:w="0" w:type="dxa"/>
            <w:right w:w="108" w:type="dxa"/>
          </w:tblCellMar>
        </w:tblPrEx>
        <w:trPr>
          <w:trHeight w:val="355" w:hRule="atLeast"/>
        </w:trPr>
        <w:tc>
          <w:tcPr>
            <w:tcW w:w="8946" w:type="dxa"/>
            <w:gridSpan w:val="14"/>
            <w:vAlign w:val="center"/>
          </w:tcPr>
          <w:p>
            <w:pPr>
              <w:autoSpaceDN w:val="0"/>
              <w:spacing w:line="400" w:lineRule="exact"/>
              <w:jc w:val="center"/>
              <w:textAlignment w:val="center"/>
              <w:rPr>
                <w:rFonts w:ascii="仿宋" w:hAnsi="仿宋" w:eastAsia="仿宋"/>
                <w:color w:val="000000"/>
                <w:sz w:val="18"/>
              </w:rPr>
            </w:pPr>
            <w:r>
              <w:rPr>
                <w:rFonts w:hint="eastAsia" w:ascii="楷体_GB2312" w:hAnsi="楷体_GB2312" w:eastAsia="楷体_GB2312"/>
                <w:color w:val="000000"/>
                <w:sz w:val="18"/>
              </w:rPr>
              <w:t>（ 202</w:t>
            </w:r>
            <w:r>
              <w:rPr>
                <w:rFonts w:hint="eastAsia" w:ascii="楷体_GB2312" w:hAnsi="楷体_GB2312" w:eastAsia="楷体_GB2312"/>
                <w:color w:val="000000"/>
                <w:sz w:val="18"/>
                <w:lang w:val="en-US" w:eastAsia="zh-CN"/>
              </w:rPr>
              <w:t>1</w:t>
            </w:r>
            <w:r>
              <w:rPr>
                <w:rFonts w:hint="eastAsia" w:ascii="楷体_GB2312" w:hAnsi="楷体_GB2312" w:eastAsia="楷体_GB2312"/>
                <w:color w:val="000000"/>
                <w:sz w:val="18"/>
              </w:rPr>
              <w:t>年度）</w:t>
            </w:r>
          </w:p>
        </w:tc>
      </w:tr>
      <w:tr>
        <w:tblPrEx>
          <w:tblCellMar>
            <w:top w:w="0" w:type="dxa"/>
            <w:left w:w="108" w:type="dxa"/>
            <w:bottom w:w="0" w:type="dxa"/>
            <w:right w:w="108" w:type="dxa"/>
          </w:tblCellMar>
        </w:tblPrEx>
        <w:trPr>
          <w:trHeight w:val="228" w:hRule="atLeast"/>
        </w:trPr>
        <w:tc>
          <w:tcPr>
            <w:tcW w:w="1335"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评价部门名称</w:t>
            </w:r>
          </w:p>
        </w:tc>
        <w:tc>
          <w:tcPr>
            <w:tcW w:w="3414"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民革萍乡市委会</w:t>
            </w:r>
          </w:p>
        </w:tc>
        <w:tc>
          <w:tcPr>
            <w:tcW w:w="2253"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下属单位个数</w:t>
            </w:r>
          </w:p>
        </w:tc>
        <w:tc>
          <w:tcPr>
            <w:tcW w:w="194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1335" w:type="dxa"/>
            <w:gridSpan w:val="4"/>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整体支出规模</w:t>
            </w:r>
          </w:p>
        </w:tc>
        <w:tc>
          <w:tcPr>
            <w:tcW w:w="245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c>
          <w:tcPr>
            <w:tcW w:w="14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全年预算数</w:t>
            </w:r>
          </w:p>
        </w:tc>
        <w:tc>
          <w:tcPr>
            <w:tcW w:w="177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全年执行数</w:t>
            </w:r>
          </w:p>
        </w:tc>
        <w:tc>
          <w:tcPr>
            <w:tcW w:w="194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执行率</w:t>
            </w:r>
          </w:p>
        </w:tc>
      </w:tr>
      <w:tr>
        <w:tblPrEx>
          <w:tblCellMar>
            <w:top w:w="0" w:type="dxa"/>
            <w:left w:w="108" w:type="dxa"/>
            <w:bottom w:w="0" w:type="dxa"/>
            <w:right w:w="108" w:type="dxa"/>
          </w:tblCellMar>
        </w:tblPrEx>
        <w:trPr>
          <w:trHeight w:val="289" w:hRule="atLeast"/>
        </w:trPr>
        <w:tc>
          <w:tcPr>
            <w:tcW w:w="1335"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45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资金来源：（1）财政拨款</w:t>
            </w:r>
          </w:p>
        </w:tc>
        <w:tc>
          <w:tcPr>
            <w:tcW w:w="14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126.39</w:t>
            </w:r>
          </w:p>
        </w:tc>
        <w:tc>
          <w:tcPr>
            <w:tcW w:w="177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156.35</w:t>
            </w:r>
          </w:p>
        </w:tc>
        <w:tc>
          <w:tcPr>
            <w:tcW w:w="194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lang w:val="en-US" w:eastAsia="zh-CN"/>
              </w:rPr>
              <w:t>123.70</w:t>
            </w:r>
            <w:r>
              <w:rPr>
                <w:rFonts w:hint="eastAsia" w:ascii="宋体" w:hAnsi="宋体"/>
                <w:color w:val="000000"/>
                <w:sz w:val="18"/>
              </w:rPr>
              <w:t>%</w:t>
            </w:r>
          </w:p>
        </w:tc>
      </w:tr>
      <w:tr>
        <w:tblPrEx>
          <w:tblCellMar>
            <w:top w:w="0" w:type="dxa"/>
            <w:left w:w="108" w:type="dxa"/>
            <w:bottom w:w="0" w:type="dxa"/>
            <w:right w:w="108" w:type="dxa"/>
          </w:tblCellMar>
        </w:tblPrEx>
        <w:trPr>
          <w:trHeight w:val="228" w:hRule="atLeast"/>
        </w:trPr>
        <w:tc>
          <w:tcPr>
            <w:tcW w:w="1335"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45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 xml:space="preserve">         （2）其他资金</w:t>
            </w:r>
          </w:p>
        </w:tc>
        <w:tc>
          <w:tcPr>
            <w:tcW w:w="14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c>
          <w:tcPr>
            <w:tcW w:w="177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c>
          <w:tcPr>
            <w:tcW w:w="194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54" w:hRule="atLeast"/>
        </w:trPr>
        <w:tc>
          <w:tcPr>
            <w:tcW w:w="1335"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45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资金结构：（1）基本支出</w:t>
            </w:r>
          </w:p>
        </w:tc>
        <w:tc>
          <w:tcPr>
            <w:tcW w:w="14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105.19</w:t>
            </w:r>
          </w:p>
        </w:tc>
        <w:tc>
          <w:tcPr>
            <w:tcW w:w="177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hAnsi="宋体"/>
                <w:color w:val="000000"/>
                <w:sz w:val="18"/>
                <w:lang w:val="en-US"/>
              </w:rPr>
            </w:pPr>
            <w:r>
              <w:rPr>
                <w:rFonts w:hint="eastAsia" w:ascii="宋体" w:hAnsi="宋体"/>
                <w:color w:val="000000"/>
                <w:sz w:val="18"/>
                <w:lang w:val="en-US" w:eastAsia="zh-CN"/>
              </w:rPr>
              <w:t>135.15</w:t>
            </w:r>
          </w:p>
        </w:tc>
        <w:tc>
          <w:tcPr>
            <w:tcW w:w="194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lang w:val="en-US" w:eastAsia="zh-CN"/>
              </w:rPr>
              <w:t>128.48</w:t>
            </w:r>
            <w:r>
              <w:rPr>
                <w:rFonts w:hint="eastAsia" w:ascii="宋体" w:hAnsi="宋体"/>
                <w:color w:val="000000"/>
                <w:sz w:val="18"/>
              </w:rPr>
              <w:t>%</w:t>
            </w:r>
          </w:p>
        </w:tc>
      </w:tr>
      <w:tr>
        <w:tblPrEx>
          <w:tblCellMar>
            <w:top w:w="0" w:type="dxa"/>
            <w:left w:w="108" w:type="dxa"/>
            <w:bottom w:w="0" w:type="dxa"/>
            <w:right w:w="108" w:type="dxa"/>
          </w:tblCellMar>
        </w:tblPrEx>
        <w:trPr>
          <w:trHeight w:val="228" w:hRule="atLeast"/>
        </w:trPr>
        <w:tc>
          <w:tcPr>
            <w:tcW w:w="1335"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45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 xml:space="preserve">         （2）项目支出</w:t>
            </w:r>
          </w:p>
        </w:tc>
        <w:tc>
          <w:tcPr>
            <w:tcW w:w="14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21.20</w:t>
            </w:r>
          </w:p>
        </w:tc>
        <w:tc>
          <w:tcPr>
            <w:tcW w:w="177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c>
          <w:tcPr>
            <w:tcW w:w="194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89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年度总体目标</w:t>
            </w:r>
          </w:p>
        </w:tc>
        <w:tc>
          <w:tcPr>
            <w:tcW w:w="3859"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年初设定目标</w:t>
            </w:r>
          </w:p>
        </w:tc>
        <w:tc>
          <w:tcPr>
            <w:tcW w:w="4197"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全年完成情况</w:t>
            </w:r>
          </w:p>
        </w:tc>
      </w:tr>
      <w:tr>
        <w:tblPrEx>
          <w:tblCellMar>
            <w:top w:w="0" w:type="dxa"/>
            <w:left w:w="108" w:type="dxa"/>
            <w:bottom w:w="0" w:type="dxa"/>
            <w:right w:w="108" w:type="dxa"/>
          </w:tblCellMar>
        </w:tblPrEx>
        <w:trPr>
          <w:trHeight w:val="228" w:hRule="atLeast"/>
        </w:trPr>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3859"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ascii="宋体" w:hAnsi="宋体"/>
                <w:color w:val="000000"/>
                <w:sz w:val="18"/>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开展好年度调研活动，组织参加好政协有关会议和协商活动，向民革省委会、市政协和以“直通车”的形式向中共市委提交调研报告、社情民意、提案</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6件</w:t>
            </w:r>
            <w:r>
              <w:rPr>
                <w:rFonts w:hint="eastAsia" w:ascii="仿宋_GB2312" w:hAnsi="仿宋_GB2312" w:eastAsia="仿宋_GB2312" w:cs="仿宋_GB2312"/>
                <w:color w:val="000000" w:themeColor="text1"/>
                <w:sz w:val="21"/>
                <w:szCs w:val="21"/>
                <w:lang w:eastAsia="zh-CN"/>
                <w14:textFill>
                  <w14:solidFill>
                    <w14:schemeClr w14:val="tx1"/>
                  </w14:solidFill>
                </w14:textFill>
              </w:rPr>
              <w:t>，强化思想政治建设，深入开展政治理论学习，巩固多党合作的思想政治基础，坚决拥护“两个确立”，始终做到“两个维护”。加强组织建设，按要求发展党员，积极开展示范支部创建工作，加大党员之家建设力度，开展好党员培训，切实提高党员履职水平</w:t>
            </w:r>
            <w:r>
              <w:rPr>
                <w:rFonts w:hint="eastAsia" w:ascii="仿宋_GB2312" w:hAnsi="仿宋_GB2312" w:eastAsia="仿宋_GB2312" w:cs="仿宋_GB2312"/>
                <w:color w:val="000000" w:themeColor="text1"/>
                <w:sz w:val="21"/>
                <w:szCs w:val="21"/>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21"/>
                <w:szCs w:val="21"/>
                <w:highlight w:val="none"/>
                <w:shd w:val="clear" w:color="auto" w:fill="FFFFFF"/>
                <w:lang w:eastAsia="zh-CN"/>
                <w14:textFill>
                  <w14:solidFill>
                    <w14:schemeClr w14:val="tx1"/>
                  </w14:solidFill>
                </w14:textFill>
              </w:rPr>
              <w:t>编印好《萍乡民革》年刊，做好微信平台的发布和网站更新。积极参与文明城市创建和乡村振兴，开展好送医下乡、送农技下乡和送法律下乡活动，积级参与有关对台活动。抓好机关日常工作，做好各项会务、活动的筹办工作，完成各项考评考核等。</w:t>
            </w:r>
          </w:p>
        </w:tc>
        <w:tc>
          <w:tcPr>
            <w:tcW w:w="4197"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完成</w:t>
            </w:r>
          </w:p>
        </w:tc>
      </w:tr>
      <w:tr>
        <w:tblPrEx>
          <w:tblCellMar>
            <w:top w:w="0" w:type="dxa"/>
            <w:left w:w="108" w:type="dxa"/>
            <w:bottom w:w="0" w:type="dxa"/>
            <w:right w:w="108" w:type="dxa"/>
          </w:tblCellMar>
        </w:tblPrEx>
        <w:trPr>
          <w:trHeight w:val="228" w:hRule="atLeast"/>
        </w:trPr>
        <w:tc>
          <w:tcPr>
            <w:tcW w:w="8946" w:type="dxa"/>
            <w:gridSpan w:val="14"/>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分解目标自评</w:t>
            </w:r>
          </w:p>
        </w:tc>
      </w:tr>
      <w:tr>
        <w:tblPrEx>
          <w:tblCellMar>
            <w:top w:w="0" w:type="dxa"/>
            <w:left w:w="108" w:type="dxa"/>
            <w:bottom w:w="0" w:type="dxa"/>
            <w:right w:w="108" w:type="dxa"/>
          </w:tblCellMar>
        </w:tblPrEx>
        <w:trPr>
          <w:trHeight w:val="240" w:hRule="atLeast"/>
        </w:trPr>
        <w:tc>
          <w:tcPr>
            <w:tcW w:w="63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一级指标</w:t>
            </w:r>
          </w:p>
        </w:tc>
        <w:tc>
          <w:tcPr>
            <w:tcW w:w="5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权重</w:t>
            </w:r>
          </w:p>
        </w:tc>
        <w:tc>
          <w:tcPr>
            <w:tcW w:w="2097"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二级指标</w:t>
            </w:r>
          </w:p>
        </w:tc>
        <w:tc>
          <w:tcPr>
            <w:tcW w:w="1256"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三级指标</w:t>
            </w:r>
          </w:p>
        </w:tc>
        <w:tc>
          <w:tcPr>
            <w:tcW w:w="914"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年度指标值</w:t>
            </w:r>
          </w:p>
        </w:tc>
        <w:tc>
          <w:tcPr>
            <w:tcW w:w="105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全年完成值</w:t>
            </w:r>
          </w:p>
        </w:tc>
        <w:tc>
          <w:tcPr>
            <w:tcW w:w="51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分值</w:t>
            </w:r>
          </w:p>
        </w:tc>
        <w:tc>
          <w:tcPr>
            <w:tcW w:w="55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得分</w:t>
            </w:r>
          </w:p>
        </w:tc>
        <w:tc>
          <w:tcPr>
            <w:tcW w:w="1394"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偏差及原因分析</w:t>
            </w:r>
          </w:p>
        </w:tc>
      </w:tr>
      <w:tr>
        <w:tblPrEx>
          <w:tblCellMar>
            <w:top w:w="0" w:type="dxa"/>
            <w:left w:w="108" w:type="dxa"/>
            <w:bottom w:w="0" w:type="dxa"/>
            <w:right w:w="108" w:type="dxa"/>
          </w:tblCellMar>
        </w:tblPrEx>
        <w:trPr>
          <w:trHeight w:val="24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c>
          <w:tcPr>
            <w:tcW w:w="2097"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c>
          <w:tcPr>
            <w:tcW w:w="1256"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c>
          <w:tcPr>
            <w:tcW w:w="914" w:type="dxa"/>
            <w:gridSpan w:val="3"/>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c>
          <w:tcPr>
            <w:tcW w:w="105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c>
          <w:tcPr>
            <w:tcW w:w="51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c>
          <w:tcPr>
            <w:tcW w:w="55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c>
          <w:tcPr>
            <w:tcW w:w="1394"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r>
      <w:tr>
        <w:tblPrEx>
          <w:tblCellMar>
            <w:top w:w="0" w:type="dxa"/>
            <w:left w:w="108" w:type="dxa"/>
            <w:bottom w:w="0" w:type="dxa"/>
            <w:right w:w="108" w:type="dxa"/>
          </w:tblCellMar>
        </w:tblPrEx>
        <w:trPr>
          <w:trHeight w:val="360" w:hRule="atLeast"/>
        </w:trPr>
        <w:tc>
          <w:tcPr>
            <w:tcW w:w="63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管理指标</w:t>
            </w:r>
          </w:p>
        </w:tc>
        <w:tc>
          <w:tcPr>
            <w:tcW w:w="5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20</w:t>
            </w:r>
          </w:p>
        </w:tc>
        <w:tc>
          <w:tcPr>
            <w:tcW w:w="2097"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预算编审管理</w:t>
            </w:r>
          </w:p>
        </w:tc>
        <w:tc>
          <w:tcPr>
            <w:tcW w:w="2170" w:type="dxa"/>
            <w:gridSpan w:val="5"/>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根据附件3《部门整体支出绩效评价指标体系框架》（参考）设置三级指标和指标值</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全部符合</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预算执行管理</w:t>
            </w:r>
          </w:p>
        </w:tc>
        <w:tc>
          <w:tcPr>
            <w:tcW w:w="2170"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全部符合</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2</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部门结转结余资金管理</w:t>
            </w:r>
          </w:p>
        </w:tc>
        <w:tc>
          <w:tcPr>
            <w:tcW w:w="2170"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全部符合</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预决算信息公开管理</w:t>
            </w:r>
          </w:p>
        </w:tc>
        <w:tc>
          <w:tcPr>
            <w:tcW w:w="2170"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全部符合</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部门预算管理</w:t>
            </w:r>
          </w:p>
        </w:tc>
        <w:tc>
          <w:tcPr>
            <w:tcW w:w="2170"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全部符合</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政府采购管理</w:t>
            </w:r>
          </w:p>
        </w:tc>
        <w:tc>
          <w:tcPr>
            <w:tcW w:w="2170"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全部符合</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资产管理</w:t>
            </w:r>
          </w:p>
        </w:tc>
        <w:tc>
          <w:tcPr>
            <w:tcW w:w="2170"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全部符合</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2</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2</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63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产出指标</w:t>
            </w:r>
          </w:p>
        </w:tc>
        <w:tc>
          <w:tcPr>
            <w:tcW w:w="5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35</w:t>
            </w:r>
          </w:p>
        </w:tc>
        <w:tc>
          <w:tcPr>
            <w:tcW w:w="2097" w:type="dxa"/>
            <w:gridSpan w:val="2"/>
            <w:vMerge w:val="restart"/>
            <w:tcBorders>
              <w:top w:val="single" w:color="000000" w:sz="4" w:space="0"/>
              <w:left w:val="single" w:color="000000" w:sz="4" w:space="0"/>
              <w:bottom w:val="single" w:color="auto"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数量指标</w:t>
            </w: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指标1：调研报告完成率</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lang w:eastAsia="zh-CN"/>
              </w:rPr>
            </w:pPr>
            <w:r>
              <w:rPr>
                <w:rFonts w:hint="eastAsia"/>
                <w:sz w:val="20"/>
                <w:szCs w:val="20"/>
                <w:lang w:val="en-US" w:eastAsia="zh-CN"/>
              </w:rPr>
              <w:t>＝1</w:t>
            </w:r>
            <w:r>
              <w:rPr>
                <w:rFonts w:hint="eastAsia"/>
                <w:sz w:val="20"/>
                <w:szCs w:val="20"/>
                <w:lang w:eastAsia="zh-CN"/>
              </w:rPr>
              <w:t>篇</w:t>
            </w:r>
          </w:p>
          <w:p>
            <w:pPr>
              <w:autoSpaceDN w:val="0"/>
              <w:spacing w:line="240" w:lineRule="exact"/>
              <w:jc w:val="left"/>
              <w:textAlignment w:val="center"/>
              <w:rPr>
                <w:rFonts w:ascii="宋体" w:hAnsi="宋体"/>
                <w:color w:val="000000"/>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r>
              <w:rPr>
                <w:rFonts w:hint="eastAsia"/>
                <w:sz w:val="20"/>
                <w:szCs w:val="20"/>
                <w:lang w:val="en-US" w:eastAsia="zh-CN"/>
              </w:rPr>
              <w:t>4篇</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eastAsia="zh-CN"/>
              </w:rPr>
            </w:pPr>
            <w:r>
              <w:rPr>
                <w:rFonts w:hint="eastAsia" w:ascii="宋体" w:hAnsi="宋体"/>
                <w:color w:val="000000"/>
                <w:sz w:val="18"/>
                <w:lang w:val="en-US" w:eastAsia="zh-CN"/>
              </w:rPr>
              <w:t>3</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eastAsia="zh-CN"/>
              </w:rPr>
            </w:pPr>
            <w:r>
              <w:rPr>
                <w:rFonts w:hint="eastAsia" w:ascii="宋体" w:hAnsi="宋体"/>
                <w:color w:val="000000"/>
                <w:sz w:val="18"/>
                <w:lang w:val="en-US" w:eastAsia="zh-CN"/>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vMerge w:val="continue"/>
            <w:tcBorders>
              <w:top w:val="single" w:color="auto" w:sz="4" w:space="0"/>
              <w:left w:val="single" w:color="000000" w:sz="4" w:space="0"/>
              <w:bottom w:val="single" w:color="auto" w:sz="4" w:space="0"/>
              <w:right w:val="single" w:color="000000" w:sz="4" w:space="0"/>
            </w:tcBorders>
            <w:vAlign w:val="center"/>
          </w:tcPr>
          <w:p>
            <w:pPr>
              <w:spacing w:line="240" w:lineRule="exact"/>
              <w:rPr>
                <w:rFonts w:ascii="宋体" w:hAnsi="宋体"/>
                <w:sz w:val="18"/>
              </w:rPr>
            </w:pP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hAnsi="宋体" w:eastAsia="宋体"/>
                <w:color w:val="000000"/>
                <w:sz w:val="18"/>
                <w:lang w:eastAsia="zh-CN"/>
              </w:rPr>
            </w:pPr>
            <w:r>
              <w:rPr>
                <w:rFonts w:hint="eastAsia" w:ascii="宋体" w:hAnsi="宋体"/>
                <w:color w:val="000000"/>
                <w:sz w:val="18"/>
              </w:rPr>
              <w:t>任务2：</w:t>
            </w:r>
            <w:r>
              <w:rPr>
                <w:rFonts w:hint="eastAsia" w:ascii="宋体" w:hAnsi="宋体" w:cs="宋体"/>
                <w:color w:val="000000"/>
                <w:sz w:val="18"/>
                <w:szCs w:val="18"/>
                <w:highlight w:val="none"/>
                <w:shd w:val="clear" w:color="auto" w:fill="FFFFFF"/>
                <w:lang w:eastAsia="zh-CN"/>
              </w:rPr>
              <w:t>社情民意信息完成数</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r>
              <w:rPr>
                <w:rFonts w:hint="eastAsia"/>
                <w:sz w:val="20"/>
                <w:szCs w:val="20"/>
              </w:rPr>
              <w:t>≧</w:t>
            </w:r>
            <w:r>
              <w:rPr>
                <w:rFonts w:hint="eastAsia"/>
                <w:sz w:val="20"/>
                <w:szCs w:val="20"/>
                <w:lang w:val="en-US" w:eastAsia="zh-CN"/>
              </w:rPr>
              <w:t>2篇</w:t>
            </w:r>
          </w:p>
          <w:p>
            <w:pPr>
              <w:autoSpaceDN w:val="0"/>
              <w:spacing w:line="240" w:lineRule="exact"/>
              <w:jc w:val="left"/>
              <w:textAlignment w:val="center"/>
              <w:rPr>
                <w:rFonts w:ascii="宋体" w:hAnsi="宋体"/>
                <w:color w:val="000000"/>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r>
              <w:rPr>
                <w:rFonts w:hint="eastAsia"/>
                <w:sz w:val="20"/>
                <w:szCs w:val="20"/>
                <w:lang w:val="en-US" w:eastAsia="zh-CN"/>
              </w:rPr>
              <w:t>6篇</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eastAsia="zh-CN"/>
              </w:rPr>
            </w:pPr>
            <w:r>
              <w:rPr>
                <w:rFonts w:hint="eastAsia" w:ascii="宋体" w:hAnsi="宋体"/>
                <w:color w:val="000000"/>
                <w:sz w:val="18"/>
                <w:lang w:val="en-US" w:eastAsia="zh-CN"/>
              </w:rPr>
              <w:t>3</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eastAsia="zh-CN"/>
              </w:rPr>
            </w:pPr>
            <w:r>
              <w:rPr>
                <w:rFonts w:hint="eastAsia" w:ascii="宋体" w:hAnsi="宋体"/>
                <w:color w:val="000000"/>
                <w:sz w:val="18"/>
                <w:lang w:val="en-US" w:eastAsia="zh-CN"/>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vMerge w:val="continue"/>
            <w:tcBorders>
              <w:top w:val="single" w:color="auto" w:sz="4" w:space="0"/>
              <w:left w:val="single" w:color="000000" w:sz="4" w:space="0"/>
              <w:bottom w:val="single" w:color="auto" w:sz="4" w:space="0"/>
              <w:right w:val="single" w:color="000000" w:sz="4" w:space="0"/>
            </w:tcBorders>
            <w:vAlign w:val="center"/>
          </w:tcPr>
          <w:p>
            <w:pPr>
              <w:spacing w:line="240" w:lineRule="exact"/>
              <w:rPr>
                <w:rFonts w:ascii="宋体" w:hAnsi="宋体"/>
                <w:sz w:val="18"/>
              </w:rPr>
            </w:pP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任务3：</w:t>
            </w:r>
          </w:p>
          <w:p>
            <w:pPr>
              <w:autoSpaceDN w:val="0"/>
              <w:spacing w:line="240" w:lineRule="exact"/>
              <w:jc w:val="center"/>
              <w:textAlignment w:val="center"/>
              <w:rPr>
                <w:rFonts w:hint="eastAsia" w:ascii="宋体" w:hAnsi="宋体" w:eastAsia="宋体"/>
                <w:color w:val="000000"/>
                <w:sz w:val="18"/>
                <w:lang w:eastAsia="zh-CN"/>
              </w:rPr>
            </w:pPr>
            <w:r>
              <w:rPr>
                <w:rFonts w:hint="eastAsia"/>
                <w:color w:val="000000"/>
                <w:sz w:val="20"/>
                <w:szCs w:val="20"/>
                <w:lang w:eastAsia="zh-CN"/>
              </w:rPr>
              <w:t>提案完成数</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lang w:eastAsia="zh-CN"/>
              </w:rPr>
            </w:pPr>
            <w:r>
              <w:rPr>
                <w:rFonts w:hint="eastAsia"/>
                <w:sz w:val="20"/>
                <w:szCs w:val="20"/>
              </w:rPr>
              <w:t>≧</w:t>
            </w:r>
            <w:r>
              <w:rPr>
                <w:rFonts w:hint="eastAsia"/>
                <w:sz w:val="20"/>
                <w:szCs w:val="20"/>
                <w:lang w:val="en-US" w:eastAsia="zh-CN"/>
              </w:rPr>
              <w:t>2篇</w:t>
            </w:r>
          </w:p>
          <w:p>
            <w:pPr>
              <w:autoSpaceDN w:val="0"/>
              <w:spacing w:line="240" w:lineRule="exact"/>
              <w:jc w:val="left"/>
              <w:textAlignment w:val="center"/>
              <w:rPr>
                <w:rFonts w:ascii="宋体" w:hAnsi="宋体"/>
                <w:color w:val="000000"/>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eastAsia" w:ascii="宋体" w:hAnsi="宋体" w:eastAsia="宋体"/>
                <w:color w:val="000000"/>
                <w:sz w:val="18"/>
                <w:lang w:eastAsia="zh-CN"/>
              </w:rPr>
            </w:pPr>
            <w:r>
              <w:rPr>
                <w:rFonts w:hint="eastAsia" w:ascii="宋体" w:hAnsi="宋体"/>
                <w:color w:val="000000"/>
                <w:sz w:val="18"/>
                <w:lang w:val="en-US" w:eastAsia="zh-CN"/>
              </w:rPr>
              <w:t>3篇</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eastAsia="zh-CN"/>
              </w:rPr>
            </w:pPr>
            <w:r>
              <w:rPr>
                <w:rFonts w:hint="eastAsia" w:ascii="宋体" w:hAnsi="宋体"/>
                <w:color w:val="000000"/>
                <w:sz w:val="18"/>
                <w:lang w:val="en-US" w:eastAsia="zh-CN"/>
              </w:rPr>
              <w:t>3</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eastAsia="zh-CN"/>
              </w:rPr>
            </w:pPr>
            <w:r>
              <w:rPr>
                <w:rFonts w:hint="eastAsia" w:ascii="宋体" w:hAnsi="宋体"/>
                <w:color w:val="000000"/>
                <w:sz w:val="18"/>
                <w:lang w:val="en-US" w:eastAsia="zh-CN"/>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605"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vMerge w:val="continue"/>
            <w:tcBorders>
              <w:top w:val="single" w:color="auto" w:sz="4" w:space="0"/>
              <w:left w:val="single" w:color="000000" w:sz="4" w:space="0"/>
              <w:bottom w:val="single" w:color="auto" w:sz="4" w:space="0"/>
              <w:right w:val="single" w:color="000000" w:sz="4" w:space="0"/>
            </w:tcBorders>
            <w:vAlign w:val="center"/>
          </w:tcPr>
          <w:p>
            <w:pPr>
              <w:spacing w:line="240" w:lineRule="exact"/>
              <w:rPr>
                <w:rFonts w:ascii="宋体" w:hAnsi="宋体"/>
                <w:sz w:val="18"/>
              </w:rPr>
            </w:pP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color w:val="000000"/>
                <w:sz w:val="20"/>
                <w:szCs w:val="20"/>
                <w:lang w:val="en-US" w:eastAsia="zh-CN"/>
              </w:rPr>
            </w:pPr>
            <w:r>
              <w:rPr>
                <w:rFonts w:hint="eastAsia"/>
                <w:color w:val="000000"/>
                <w:sz w:val="20"/>
                <w:szCs w:val="20"/>
                <w:lang w:eastAsia="zh-CN"/>
              </w:rPr>
              <w:t>任务</w:t>
            </w:r>
            <w:r>
              <w:rPr>
                <w:rFonts w:hint="eastAsia"/>
                <w:color w:val="000000"/>
                <w:sz w:val="20"/>
                <w:szCs w:val="20"/>
                <w:lang w:val="en-US" w:eastAsia="zh-CN"/>
              </w:rPr>
              <w:t>4：社会服务活动</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eastAsia" w:ascii="宋体" w:hAnsi="宋体" w:eastAsia="宋体"/>
                <w:color w:val="000000"/>
                <w:sz w:val="18"/>
                <w:lang w:val="en-US" w:eastAsia="zh-CN"/>
              </w:rPr>
            </w:pPr>
            <w:r>
              <w:rPr>
                <w:rFonts w:hint="eastAsia"/>
                <w:sz w:val="20"/>
                <w:szCs w:val="20"/>
              </w:rPr>
              <w:t>≧</w:t>
            </w:r>
            <w:r>
              <w:rPr>
                <w:rFonts w:hint="eastAsia"/>
                <w:sz w:val="20"/>
                <w:szCs w:val="20"/>
                <w:lang w:val="en-US" w:eastAsia="zh-CN"/>
              </w:rPr>
              <w:t>3次</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default" w:ascii="宋体" w:hAnsi="宋体"/>
                <w:color w:val="000000"/>
                <w:sz w:val="18"/>
                <w:lang w:val="en-US" w:eastAsia="zh-CN"/>
              </w:rPr>
            </w:pPr>
            <w:r>
              <w:rPr>
                <w:rFonts w:hint="eastAsia" w:ascii="宋体" w:hAnsi="宋体"/>
                <w:color w:val="000000"/>
                <w:sz w:val="18"/>
                <w:lang w:val="en-US" w:eastAsia="zh-CN"/>
              </w:rPr>
              <w:t>6次</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3</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59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vMerge w:val="continue"/>
            <w:tcBorders>
              <w:top w:val="single" w:color="auto" w:sz="4" w:space="0"/>
              <w:left w:val="single" w:color="000000" w:sz="4" w:space="0"/>
              <w:bottom w:val="single" w:color="auto" w:sz="4" w:space="0"/>
              <w:right w:val="single" w:color="000000" w:sz="4" w:space="0"/>
            </w:tcBorders>
            <w:vAlign w:val="center"/>
          </w:tcPr>
          <w:p>
            <w:pPr>
              <w:spacing w:line="240" w:lineRule="exact"/>
              <w:rPr>
                <w:rFonts w:ascii="宋体" w:hAnsi="宋体"/>
                <w:sz w:val="18"/>
              </w:rPr>
            </w:pP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color w:val="000000"/>
                <w:sz w:val="20"/>
                <w:szCs w:val="20"/>
                <w:lang w:val="en-US" w:eastAsia="zh-CN"/>
              </w:rPr>
            </w:pPr>
            <w:r>
              <w:rPr>
                <w:rFonts w:hint="eastAsia"/>
                <w:color w:val="000000"/>
                <w:sz w:val="20"/>
                <w:szCs w:val="20"/>
                <w:lang w:eastAsia="zh-CN"/>
              </w:rPr>
              <w:t>任务</w:t>
            </w:r>
            <w:r>
              <w:rPr>
                <w:rFonts w:hint="eastAsia"/>
                <w:color w:val="000000"/>
                <w:sz w:val="20"/>
                <w:szCs w:val="20"/>
                <w:lang w:val="en-US" w:eastAsia="zh-CN"/>
              </w:rPr>
              <w:t>5：参加协商</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eastAsia" w:ascii="宋体" w:hAnsi="宋体" w:eastAsia="宋体"/>
                <w:color w:val="000000"/>
                <w:sz w:val="18"/>
                <w:lang w:val="en-US" w:eastAsia="zh-CN"/>
              </w:rPr>
            </w:pPr>
            <w:r>
              <w:rPr>
                <w:rFonts w:hint="eastAsia"/>
                <w:sz w:val="20"/>
                <w:szCs w:val="20"/>
              </w:rPr>
              <w:t>≧</w:t>
            </w:r>
            <w:r>
              <w:rPr>
                <w:rFonts w:hint="eastAsia" w:ascii="宋体" w:hAnsi="宋体"/>
                <w:color w:val="000000"/>
                <w:sz w:val="18"/>
                <w:lang w:val="en-US" w:eastAsia="zh-CN"/>
              </w:rPr>
              <w:t>1次</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default" w:ascii="宋体" w:hAnsi="宋体"/>
                <w:color w:val="000000"/>
                <w:sz w:val="18"/>
                <w:lang w:val="en-US" w:eastAsia="zh-CN"/>
              </w:rPr>
            </w:pPr>
            <w:r>
              <w:rPr>
                <w:rFonts w:hint="eastAsia" w:ascii="宋体" w:hAnsi="宋体"/>
                <w:color w:val="000000"/>
                <w:sz w:val="18"/>
                <w:lang w:val="en-US" w:eastAsia="zh-CN"/>
              </w:rPr>
              <w:t>3次</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2</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545"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vMerge w:val="continue"/>
            <w:tcBorders>
              <w:top w:val="single" w:color="auto" w:sz="4" w:space="0"/>
              <w:left w:val="single" w:color="000000" w:sz="4" w:space="0"/>
              <w:bottom w:val="single" w:color="auto" w:sz="4" w:space="0"/>
              <w:right w:val="single" w:color="000000" w:sz="4" w:space="0"/>
            </w:tcBorders>
            <w:vAlign w:val="center"/>
          </w:tcPr>
          <w:p>
            <w:pPr>
              <w:spacing w:line="240" w:lineRule="exact"/>
              <w:rPr>
                <w:rFonts w:ascii="宋体" w:hAnsi="宋体"/>
                <w:sz w:val="18"/>
              </w:rPr>
            </w:pP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color w:val="000000"/>
                <w:sz w:val="20"/>
                <w:szCs w:val="20"/>
                <w:lang w:val="en-US" w:eastAsia="zh-CN"/>
              </w:rPr>
            </w:pPr>
            <w:r>
              <w:rPr>
                <w:rFonts w:hint="eastAsia"/>
                <w:color w:val="000000"/>
                <w:sz w:val="20"/>
                <w:szCs w:val="20"/>
                <w:lang w:eastAsia="zh-CN"/>
              </w:rPr>
              <w:t>任务</w:t>
            </w:r>
            <w:r>
              <w:rPr>
                <w:rFonts w:hint="eastAsia"/>
                <w:color w:val="000000"/>
                <w:sz w:val="20"/>
                <w:szCs w:val="20"/>
                <w:lang w:val="en-US" w:eastAsia="zh-CN"/>
              </w:rPr>
              <w:t>6：党员发展</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eastAsia" w:ascii="宋体" w:hAnsi="宋体" w:eastAsia="宋体"/>
                <w:color w:val="000000"/>
                <w:sz w:val="18"/>
                <w:lang w:val="en-US" w:eastAsia="zh-CN"/>
              </w:rPr>
            </w:pPr>
            <w:r>
              <w:rPr>
                <w:rFonts w:hint="eastAsia"/>
                <w:sz w:val="20"/>
                <w:szCs w:val="20"/>
              </w:rPr>
              <w:t>≧</w:t>
            </w:r>
            <w:r>
              <w:rPr>
                <w:rFonts w:hint="eastAsia"/>
                <w:sz w:val="20"/>
                <w:szCs w:val="20"/>
                <w:lang w:val="en-US" w:eastAsia="zh-CN"/>
              </w:rPr>
              <w:t>6人</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default" w:ascii="宋体" w:hAnsi="宋体"/>
                <w:color w:val="000000"/>
                <w:sz w:val="18"/>
                <w:lang w:val="en-US" w:eastAsia="zh-CN"/>
              </w:rPr>
            </w:pPr>
            <w:r>
              <w:rPr>
                <w:rFonts w:hint="eastAsia" w:ascii="宋体" w:hAnsi="宋体"/>
                <w:color w:val="000000"/>
                <w:sz w:val="18"/>
                <w:lang w:val="en-US" w:eastAsia="zh-CN"/>
              </w:rPr>
              <w:t>3人</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2</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1</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50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vMerge w:val="continue"/>
            <w:tcBorders>
              <w:top w:val="single" w:color="auto" w:sz="4" w:space="0"/>
              <w:left w:val="single" w:color="000000" w:sz="4" w:space="0"/>
              <w:bottom w:val="single" w:color="auto" w:sz="4" w:space="0"/>
              <w:right w:val="single" w:color="000000" w:sz="4" w:space="0"/>
            </w:tcBorders>
            <w:vAlign w:val="center"/>
          </w:tcPr>
          <w:p>
            <w:pPr>
              <w:spacing w:line="240" w:lineRule="exact"/>
              <w:rPr>
                <w:rFonts w:ascii="宋体" w:hAnsi="宋体"/>
                <w:sz w:val="18"/>
              </w:rPr>
            </w:pP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color w:val="000000"/>
                <w:sz w:val="20"/>
                <w:szCs w:val="20"/>
                <w:lang w:val="en-US" w:eastAsia="zh-CN"/>
              </w:rPr>
            </w:pPr>
            <w:r>
              <w:rPr>
                <w:rFonts w:hint="eastAsia"/>
                <w:color w:val="000000"/>
                <w:sz w:val="20"/>
                <w:szCs w:val="20"/>
                <w:lang w:eastAsia="zh-CN"/>
              </w:rPr>
              <w:t>任务</w:t>
            </w:r>
            <w:r>
              <w:rPr>
                <w:rFonts w:hint="eastAsia"/>
                <w:color w:val="000000"/>
                <w:sz w:val="20"/>
                <w:szCs w:val="20"/>
                <w:lang w:val="en-US" w:eastAsia="zh-CN"/>
              </w:rPr>
              <w:t>7：理论学习</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eastAsia" w:ascii="宋体" w:hAnsi="宋体" w:eastAsia="宋体"/>
                <w:color w:val="000000"/>
                <w:sz w:val="18"/>
                <w:lang w:val="en-US" w:eastAsia="zh-CN"/>
              </w:rPr>
            </w:pPr>
            <w:r>
              <w:rPr>
                <w:rFonts w:hint="eastAsia"/>
                <w:sz w:val="20"/>
                <w:szCs w:val="20"/>
              </w:rPr>
              <w:t>≧</w:t>
            </w:r>
            <w:r>
              <w:rPr>
                <w:rFonts w:hint="eastAsia"/>
                <w:sz w:val="20"/>
                <w:szCs w:val="20"/>
                <w:lang w:val="en-US" w:eastAsia="zh-CN"/>
              </w:rPr>
              <w:t>6次</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default" w:ascii="宋体" w:hAnsi="宋体"/>
                <w:color w:val="000000"/>
                <w:sz w:val="18"/>
                <w:lang w:val="en-US" w:eastAsia="zh-CN"/>
              </w:rPr>
            </w:pPr>
            <w:r>
              <w:rPr>
                <w:rFonts w:hint="eastAsia" w:ascii="宋体" w:hAnsi="宋体"/>
                <w:color w:val="000000"/>
                <w:sz w:val="18"/>
                <w:lang w:val="en-US" w:eastAsia="zh-CN"/>
              </w:rPr>
              <w:t>9次</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5</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5</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565"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vMerge w:val="continue"/>
            <w:tcBorders>
              <w:top w:val="single" w:color="auto" w:sz="4" w:space="0"/>
              <w:left w:val="single" w:color="000000" w:sz="4" w:space="0"/>
              <w:bottom w:val="single" w:color="auto" w:sz="4" w:space="0"/>
              <w:right w:val="single" w:color="000000" w:sz="4" w:space="0"/>
            </w:tcBorders>
            <w:vAlign w:val="center"/>
          </w:tcPr>
          <w:p>
            <w:pPr>
              <w:spacing w:line="240" w:lineRule="exact"/>
              <w:rPr>
                <w:rFonts w:ascii="宋体" w:hAnsi="宋体"/>
                <w:sz w:val="18"/>
              </w:rPr>
            </w:pP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color w:val="000000"/>
                <w:sz w:val="20"/>
                <w:szCs w:val="20"/>
                <w:lang w:val="en-US" w:eastAsia="zh-CN"/>
              </w:rPr>
            </w:pPr>
            <w:r>
              <w:rPr>
                <w:rFonts w:hint="eastAsia"/>
                <w:color w:val="000000"/>
                <w:sz w:val="20"/>
                <w:szCs w:val="20"/>
                <w:lang w:eastAsia="zh-CN"/>
              </w:rPr>
              <w:t>任务</w:t>
            </w:r>
            <w:r>
              <w:rPr>
                <w:rFonts w:hint="eastAsia"/>
                <w:color w:val="000000"/>
                <w:sz w:val="20"/>
                <w:szCs w:val="20"/>
                <w:lang w:val="en-US" w:eastAsia="zh-CN"/>
              </w:rPr>
              <w:t>8：出版内刊</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default" w:ascii="宋体" w:hAnsi="宋体" w:eastAsia="宋体"/>
                <w:color w:val="000000"/>
                <w:sz w:val="18"/>
                <w:lang w:val="en-US" w:eastAsia="zh-CN"/>
              </w:rPr>
            </w:pPr>
            <w:r>
              <w:rPr>
                <w:rFonts w:hint="eastAsia" w:ascii="宋体" w:hAnsi="宋体"/>
                <w:color w:val="000000"/>
                <w:sz w:val="18"/>
                <w:lang w:eastAsia="zh-CN"/>
              </w:rPr>
              <w:t>＝</w:t>
            </w:r>
            <w:r>
              <w:rPr>
                <w:rFonts w:hint="eastAsia" w:ascii="宋体" w:hAnsi="宋体"/>
                <w:color w:val="000000"/>
                <w:sz w:val="18"/>
                <w:lang w:val="en-US" w:eastAsia="zh-CN"/>
              </w:rPr>
              <w:t>1期</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default" w:ascii="宋体" w:hAnsi="宋体"/>
                <w:color w:val="000000"/>
                <w:sz w:val="18"/>
                <w:lang w:val="en-US" w:eastAsia="zh-CN"/>
              </w:rPr>
            </w:pPr>
            <w:r>
              <w:rPr>
                <w:rFonts w:hint="eastAsia" w:ascii="宋体" w:hAnsi="宋体"/>
                <w:color w:val="000000"/>
                <w:sz w:val="18"/>
                <w:lang w:val="en-US" w:eastAsia="zh-CN"/>
              </w:rPr>
              <w:t>1期</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2</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2</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565"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vMerge w:val="continue"/>
            <w:tcBorders>
              <w:top w:val="single" w:color="auto" w:sz="4" w:space="0"/>
              <w:left w:val="single" w:color="000000" w:sz="4" w:space="0"/>
              <w:bottom w:val="single" w:color="auto" w:sz="4" w:space="0"/>
              <w:right w:val="single" w:color="000000" w:sz="4" w:space="0"/>
            </w:tcBorders>
            <w:vAlign w:val="center"/>
          </w:tcPr>
          <w:p>
            <w:pPr>
              <w:spacing w:line="240" w:lineRule="exact"/>
              <w:rPr>
                <w:rFonts w:ascii="宋体" w:hAnsi="宋体"/>
                <w:sz w:val="18"/>
              </w:rPr>
            </w:pP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color w:val="000000"/>
                <w:sz w:val="20"/>
                <w:szCs w:val="20"/>
                <w:lang w:val="en-US" w:eastAsia="zh-CN"/>
              </w:rPr>
            </w:pPr>
            <w:r>
              <w:rPr>
                <w:rFonts w:hint="eastAsia"/>
                <w:color w:val="000000"/>
                <w:sz w:val="20"/>
                <w:szCs w:val="20"/>
                <w:lang w:eastAsia="zh-CN"/>
              </w:rPr>
              <w:t>任务</w:t>
            </w:r>
            <w:r>
              <w:rPr>
                <w:rFonts w:hint="eastAsia"/>
                <w:color w:val="000000"/>
                <w:sz w:val="20"/>
                <w:szCs w:val="20"/>
                <w:lang w:val="en-US" w:eastAsia="zh-CN"/>
              </w:rPr>
              <w:t>9：开展对台活动</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default" w:ascii="宋体" w:hAnsi="宋体"/>
                <w:color w:val="000000"/>
                <w:sz w:val="18"/>
                <w:lang w:val="en-US" w:eastAsia="zh-CN"/>
              </w:rPr>
            </w:pPr>
            <w:r>
              <w:rPr>
                <w:rFonts w:hint="eastAsia" w:ascii="宋体" w:hAnsi="宋体"/>
                <w:color w:val="000000"/>
                <w:sz w:val="18"/>
                <w:lang w:eastAsia="zh-CN"/>
              </w:rPr>
              <w:t>＝</w:t>
            </w:r>
            <w:r>
              <w:rPr>
                <w:rFonts w:hint="eastAsia" w:ascii="宋体" w:hAnsi="宋体"/>
                <w:color w:val="000000"/>
                <w:sz w:val="18"/>
                <w:lang w:val="en-US" w:eastAsia="zh-CN"/>
              </w:rPr>
              <w:t>1次</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default" w:ascii="宋体" w:hAnsi="宋体"/>
                <w:color w:val="000000"/>
                <w:sz w:val="18"/>
                <w:lang w:val="en-US" w:eastAsia="zh-CN"/>
              </w:rPr>
            </w:pPr>
            <w:r>
              <w:rPr>
                <w:rFonts w:hint="eastAsia" w:ascii="宋体" w:hAnsi="宋体"/>
                <w:color w:val="000000"/>
                <w:sz w:val="18"/>
                <w:lang w:val="en-US" w:eastAsia="zh-CN"/>
              </w:rPr>
              <w:t>1次</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default" w:ascii="宋体" w:hAnsi="宋体"/>
                <w:color w:val="000000"/>
                <w:sz w:val="18"/>
                <w:lang w:val="en-US" w:eastAsia="zh-CN"/>
              </w:rPr>
            </w:pPr>
            <w:r>
              <w:rPr>
                <w:rFonts w:hint="eastAsia" w:ascii="宋体" w:hAnsi="宋体"/>
                <w:color w:val="000000"/>
                <w:sz w:val="18"/>
                <w:lang w:val="en-US" w:eastAsia="zh-CN"/>
              </w:rPr>
              <w:t>2</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default" w:ascii="宋体" w:hAnsi="宋体"/>
                <w:color w:val="000000"/>
                <w:sz w:val="18"/>
                <w:lang w:val="en-US" w:eastAsia="zh-CN"/>
              </w:rPr>
            </w:pPr>
            <w:r>
              <w:rPr>
                <w:rFonts w:hint="eastAsia" w:ascii="宋体" w:hAnsi="宋体"/>
                <w:color w:val="000000"/>
                <w:sz w:val="18"/>
                <w:lang w:val="en-US" w:eastAsia="zh-CN"/>
              </w:rPr>
              <w:t>2</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565"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vMerge w:val="continue"/>
            <w:tcBorders>
              <w:top w:val="single" w:color="auto" w:sz="4" w:space="0"/>
              <w:left w:val="single" w:color="000000" w:sz="4" w:space="0"/>
              <w:bottom w:val="single" w:color="auto" w:sz="4" w:space="0"/>
              <w:right w:val="single" w:color="000000" w:sz="4" w:space="0"/>
            </w:tcBorders>
            <w:vAlign w:val="center"/>
          </w:tcPr>
          <w:p>
            <w:pPr>
              <w:spacing w:line="240" w:lineRule="exact"/>
              <w:rPr>
                <w:rFonts w:ascii="宋体" w:hAnsi="宋体"/>
                <w:sz w:val="18"/>
              </w:rPr>
            </w:pP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color w:val="000000"/>
                <w:sz w:val="20"/>
                <w:szCs w:val="20"/>
                <w:lang w:val="en-US" w:eastAsia="zh-CN"/>
              </w:rPr>
            </w:pPr>
            <w:r>
              <w:rPr>
                <w:rFonts w:hint="eastAsia"/>
                <w:color w:val="000000"/>
                <w:sz w:val="20"/>
                <w:szCs w:val="20"/>
                <w:lang w:eastAsia="zh-CN"/>
              </w:rPr>
              <w:t>任务</w:t>
            </w:r>
            <w:r>
              <w:rPr>
                <w:rFonts w:hint="eastAsia"/>
                <w:color w:val="000000"/>
                <w:sz w:val="20"/>
                <w:szCs w:val="20"/>
                <w:lang w:val="en-US" w:eastAsia="zh-CN"/>
              </w:rPr>
              <w:t>10：组织党员活动</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eastAsia" w:ascii="宋体" w:hAnsi="宋体" w:eastAsia="宋体"/>
                <w:color w:val="000000"/>
                <w:sz w:val="18"/>
                <w:lang w:val="en-US" w:eastAsia="zh-CN"/>
              </w:rPr>
            </w:pPr>
            <w:r>
              <w:rPr>
                <w:rFonts w:hint="eastAsia"/>
                <w:sz w:val="20"/>
                <w:szCs w:val="20"/>
              </w:rPr>
              <w:t>≧</w:t>
            </w:r>
            <w:r>
              <w:rPr>
                <w:rFonts w:hint="eastAsia"/>
                <w:sz w:val="20"/>
                <w:szCs w:val="20"/>
                <w:lang w:val="en-US" w:eastAsia="zh-CN"/>
              </w:rPr>
              <w:t>2次</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default" w:ascii="宋体" w:hAnsi="宋体"/>
                <w:color w:val="000000"/>
                <w:sz w:val="18"/>
                <w:lang w:val="en-US" w:eastAsia="zh-CN"/>
              </w:rPr>
            </w:pPr>
            <w:r>
              <w:rPr>
                <w:rFonts w:hint="eastAsia" w:ascii="宋体" w:hAnsi="宋体"/>
                <w:color w:val="000000"/>
                <w:sz w:val="18"/>
                <w:lang w:val="en-US" w:eastAsia="zh-CN"/>
              </w:rPr>
              <w:t>5次</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default" w:ascii="宋体" w:hAnsi="宋体"/>
                <w:color w:val="000000"/>
                <w:sz w:val="18"/>
                <w:lang w:val="en-US" w:eastAsia="zh-CN"/>
              </w:rPr>
            </w:pPr>
            <w:r>
              <w:rPr>
                <w:rFonts w:hint="eastAsia" w:ascii="宋体" w:hAnsi="宋体"/>
                <w:color w:val="000000"/>
                <w:sz w:val="18"/>
                <w:lang w:val="en-US" w:eastAsia="zh-CN"/>
              </w:rPr>
              <w:t>2</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default" w:ascii="宋体" w:hAnsi="宋体"/>
                <w:color w:val="000000"/>
                <w:sz w:val="18"/>
                <w:lang w:val="en-US" w:eastAsia="zh-CN"/>
              </w:rPr>
            </w:pPr>
            <w:r>
              <w:rPr>
                <w:rFonts w:hint="eastAsia" w:ascii="宋体" w:hAnsi="宋体"/>
                <w:color w:val="000000"/>
                <w:sz w:val="18"/>
                <w:lang w:val="en-US" w:eastAsia="zh-CN"/>
              </w:rPr>
              <w:t>2</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vMerge w:val="restart"/>
            <w:tcBorders>
              <w:top w:val="single" w:color="auto" w:sz="4" w:space="0"/>
              <w:left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质量指标</w:t>
            </w: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任务1：</w:t>
            </w:r>
          </w:p>
          <w:p>
            <w:pPr>
              <w:jc w:val="center"/>
              <w:rPr>
                <w:rFonts w:ascii="宋体" w:hAnsi="宋体" w:cs="宋体"/>
                <w:color w:val="000000"/>
                <w:sz w:val="18"/>
                <w:szCs w:val="18"/>
              </w:rPr>
            </w:pPr>
            <w:r>
              <w:rPr>
                <w:rFonts w:hint="eastAsia"/>
                <w:color w:val="000000"/>
                <w:sz w:val="18"/>
                <w:szCs w:val="18"/>
              </w:rPr>
              <w:t>违规使用财政资金次数</w:t>
            </w:r>
          </w:p>
          <w:p>
            <w:pPr>
              <w:autoSpaceDN w:val="0"/>
              <w:spacing w:line="240" w:lineRule="exact"/>
              <w:jc w:val="center"/>
              <w:textAlignment w:val="center"/>
              <w:rPr>
                <w:rFonts w:ascii="宋体" w:hAnsi="宋体"/>
                <w:color w:val="000000"/>
                <w:sz w:val="18"/>
              </w:rPr>
            </w:pP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0次</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r>
              <w:rPr>
                <w:rFonts w:hint="eastAsia" w:ascii="宋体" w:hAnsi="宋体"/>
                <w:color w:val="000000"/>
                <w:sz w:val="18"/>
              </w:rPr>
              <w:t>0</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eastAsia="zh-CN"/>
              </w:rPr>
            </w:pPr>
            <w:r>
              <w:rPr>
                <w:rFonts w:hint="eastAsia" w:ascii="宋体" w:hAnsi="宋体"/>
                <w:color w:val="000000"/>
                <w:sz w:val="18"/>
                <w:lang w:val="en-US" w:eastAsia="zh-CN"/>
              </w:rPr>
              <w:t>2</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eastAsia="zh-CN"/>
              </w:rPr>
            </w:pPr>
            <w:r>
              <w:rPr>
                <w:rFonts w:hint="eastAsia" w:ascii="宋体" w:hAnsi="宋体"/>
                <w:color w:val="000000"/>
                <w:sz w:val="18"/>
                <w:lang w:val="en-US" w:eastAsia="zh-CN"/>
              </w:rPr>
              <w:t>2</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vMerge w:val="continue"/>
            <w:tcBorders>
              <w:left w:val="single" w:color="000000" w:sz="4" w:space="0"/>
              <w:right w:val="single" w:color="000000" w:sz="4" w:space="0"/>
            </w:tcBorders>
            <w:vAlign w:val="center"/>
          </w:tcPr>
          <w:p>
            <w:pPr>
              <w:autoSpaceDN w:val="0"/>
              <w:spacing w:line="240" w:lineRule="exact"/>
              <w:jc w:val="center"/>
              <w:textAlignment w:val="center"/>
              <w:rPr>
                <w:rFonts w:hint="eastAsia" w:ascii="宋体" w:hAnsi="宋体"/>
                <w:color w:val="000000"/>
                <w:sz w:val="18"/>
              </w:rPr>
            </w:pP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hAnsi="宋体" w:eastAsia="宋体"/>
                <w:color w:val="000000"/>
                <w:sz w:val="18"/>
                <w:lang w:val="en-US" w:eastAsia="zh-CN"/>
              </w:rPr>
            </w:pPr>
            <w:r>
              <w:rPr>
                <w:rFonts w:hint="eastAsia" w:ascii="宋体" w:hAnsi="宋体"/>
                <w:color w:val="000000"/>
                <w:sz w:val="18"/>
                <w:lang w:eastAsia="zh-CN"/>
              </w:rPr>
              <w:t>任务</w:t>
            </w:r>
            <w:r>
              <w:rPr>
                <w:rFonts w:hint="eastAsia" w:ascii="宋体" w:hAnsi="宋体"/>
                <w:color w:val="000000"/>
                <w:sz w:val="18"/>
                <w:lang w:val="en-US" w:eastAsia="zh-CN"/>
              </w:rPr>
              <w:t>2：调研报告通过率</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color w:val="000000"/>
                <w:sz w:val="18"/>
                <w:szCs w:val="18"/>
                <w:lang w:val="en-US" w:eastAsia="zh-CN"/>
              </w:rPr>
            </w:pPr>
            <w:r>
              <w:rPr>
                <w:rFonts w:hint="eastAsia"/>
                <w:sz w:val="20"/>
                <w:szCs w:val="20"/>
              </w:rPr>
              <w:t>≧</w:t>
            </w:r>
            <w:r>
              <w:rPr>
                <w:rFonts w:hint="eastAsia"/>
                <w:sz w:val="20"/>
                <w:szCs w:val="20"/>
                <w:lang w:val="en-US" w:eastAsia="zh-CN"/>
              </w:rPr>
              <w:t>90%</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100%</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2</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2</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vMerge w:val="continue"/>
            <w:tcBorders>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hAnsi="宋体"/>
                <w:color w:val="000000"/>
                <w:sz w:val="18"/>
              </w:rPr>
            </w:pP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hAnsi="宋体" w:eastAsia="宋体"/>
                <w:color w:val="000000"/>
                <w:sz w:val="18"/>
                <w:lang w:val="en-US" w:eastAsia="zh-CN"/>
              </w:rPr>
            </w:pPr>
            <w:r>
              <w:rPr>
                <w:rFonts w:hint="eastAsia" w:ascii="宋体" w:hAnsi="宋体"/>
                <w:color w:val="000000"/>
                <w:sz w:val="18"/>
                <w:lang w:eastAsia="zh-CN"/>
              </w:rPr>
              <w:t>任务</w:t>
            </w:r>
            <w:r>
              <w:rPr>
                <w:rFonts w:hint="eastAsia" w:ascii="宋体" w:hAnsi="宋体"/>
                <w:color w:val="000000"/>
                <w:sz w:val="18"/>
                <w:lang w:val="en-US" w:eastAsia="zh-CN"/>
              </w:rPr>
              <w:t>3：提案采纳率</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color w:val="000000"/>
                <w:sz w:val="18"/>
                <w:szCs w:val="18"/>
                <w:lang w:val="en-US" w:eastAsia="zh-CN"/>
              </w:rPr>
            </w:pPr>
            <w:r>
              <w:rPr>
                <w:rFonts w:hint="eastAsia"/>
                <w:sz w:val="20"/>
                <w:szCs w:val="20"/>
              </w:rPr>
              <w:t>≧</w:t>
            </w:r>
            <w:r>
              <w:rPr>
                <w:rFonts w:hint="eastAsia"/>
                <w:sz w:val="20"/>
                <w:szCs w:val="20"/>
                <w:lang w:val="en-US" w:eastAsia="zh-CN"/>
              </w:rPr>
              <w:t>50%</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100%</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2</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2</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时效指标</w:t>
            </w: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任务1：计划完成时间</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color w:val="000000"/>
                <w:sz w:val="18"/>
                <w:szCs w:val="18"/>
              </w:rPr>
              <w:t>2020年1月1日-12月31日</w:t>
            </w:r>
          </w:p>
          <w:p>
            <w:pPr>
              <w:autoSpaceDN w:val="0"/>
              <w:spacing w:line="240" w:lineRule="exact"/>
              <w:jc w:val="left"/>
              <w:textAlignment w:val="center"/>
              <w:rPr>
                <w:rFonts w:ascii="宋体" w:hAnsi="宋体"/>
                <w:color w:val="000000"/>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r>
              <w:rPr>
                <w:rFonts w:hint="eastAsia" w:ascii="宋体" w:hAnsi="宋体"/>
                <w:color w:val="000000"/>
                <w:sz w:val="18"/>
              </w:rPr>
              <w:t>完成</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eastAsia="zh-CN"/>
              </w:rPr>
            </w:pPr>
            <w:r>
              <w:rPr>
                <w:rFonts w:hint="eastAsia" w:ascii="宋体" w:hAnsi="宋体"/>
                <w:color w:val="000000"/>
                <w:sz w:val="18"/>
                <w:lang w:val="en-US" w:eastAsia="zh-CN"/>
              </w:rPr>
              <w:t>2</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eastAsia="zh-CN"/>
              </w:rPr>
            </w:pPr>
            <w:r>
              <w:rPr>
                <w:rFonts w:hint="eastAsia" w:ascii="宋体" w:hAnsi="宋体"/>
                <w:color w:val="000000"/>
                <w:sz w:val="18"/>
                <w:lang w:val="en-US" w:eastAsia="zh-CN"/>
              </w:rPr>
              <w:t>2</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83" w:hRule="atLeast"/>
        </w:trPr>
        <w:tc>
          <w:tcPr>
            <w:tcW w:w="63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效果指标</w:t>
            </w:r>
          </w:p>
        </w:tc>
        <w:tc>
          <w:tcPr>
            <w:tcW w:w="5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35</w:t>
            </w:r>
          </w:p>
        </w:tc>
        <w:tc>
          <w:tcPr>
            <w:tcW w:w="2097"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经济效益指标</w:t>
            </w: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hAnsi="宋体"/>
                <w:color w:val="000000"/>
                <w:sz w:val="18"/>
              </w:rPr>
            </w:pP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hAnsi="宋体"/>
                <w:color w:val="000000"/>
                <w:sz w:val="18"/>
              </w:rPr>
            </w:pP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83"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auto" w:sz="4" w:space="0"/>
              <w:right w:val="single" w:color="000000" w:sz="4" w:space="0"/>
            </w:tcBorders>
            <w:vAlign w:val="center"/>
          </w:tcPr>
          <w:p>
            <w:pPr>
              <w:spacing w:line="240" w:lineRule="exact"/>
              <w:rPr>
                <w:rFonts w:ascii="宋体" w:hAnsi="宋体"/>
                <w:sz w:val="18"/>
              </w:rPr>
            </w:pPr>
          </w:p>
        </w:tc>
        <w:tc>
          <w:tcPr>
            <w:tcW w:w="2097" w:type="dxa"/>
            <w:gridSpan w:val="2"/>
            <w:vMerge w:val="restart"/>
            <w:tcBorders>
              <w:top w:val="single" w:color="000000" w:sz="4" w:space="0"/>
              <w:left w:val="single" w:color="000000" w:sz="4" w:space="0"/>
              <w:bottom w:val="single" w:color="auto"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社会效益指标</w:t>
            </w: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指标1：发挥民主党派参政议政作用，为萍乡发展献计献策，促进党委、政府科学决策。</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000000"/>
                <w:sz w:val="18"/>
              </w:rPr>
            </w:pPr>
            <w:r>
              <w:rPr>
                <w:rFonts w:hint="eastAsia" w:ascii="宋体" w:hAnsi="宋体"/>
                <w:color w:val="000000"/>
                <w:sz w:val="18"/>
              </w:rPr>
              <w:t>90%</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r>
              <w:rPr>
                <w:rFonts w:hint="eastAsia" w:ascii="宋体" w:hAnsi="宋体"/>
                <w:color w:val="000000"/>
                <w:sz w:val="18"/>
              </w:rPr>
              <w:t>100%</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20</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20</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p>
        </w:tc>
      </w:tr>
      <w:tr>
        <w:tblPrEx>
          <w:tblCellMar>
            <w:top w:w="0" w:type="dxa"/>
            <w:left w:w="108" w:type="dxa"/>
            <w:bottom w:w="0" w:type="dxa"/>
            <w:right w:w="108" w:type="dxa"/>
          </w:tblCellMar>
        </w:tblPrEx>
        <w:trPr>
          <w:trHeight w:val="283"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auto"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vMerge w:val="continue"/>
            <w:tcBorders>
              <w:top w:val="single" w:color="auto"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hAnsi="宋体"/>
                <w:color w:val="000000"/>
                <w:sz w:val="18"/>
              </w:rPr>
            </w:pP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宋体" w:hAnsi="宋体"/>
                <w:color w:val="000000"/>
                <w:sz w:val="18"/>
              </w:rPr>
            </w:pPr>
            <w:r>
              <w:rPr>
                <w:rFonts w:hint="eastAsia" w:ascii="宋体" w:hAnsi="宋体"/>
                <w:color w:val="000000"/>
                <w:sz w:val="18"/>
              </w:rPr>
              <w:t>指标2：发挥民主党派人才、智力、资源相对集中的优势服务社会民生。</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olor w:val="000000"/>
                <w:sz w:val="18"/>
                <w:lang w:val="en-US" w:eastAsia="zh-CN"/>
              </w:rPr>
            </w:pPr>
            <w:r>
              <w:rPr>
                <w:rFonts w:hint="eastAsia" w:ascii="宋体" w:hAnsi="宋体"/>
                <w:color w:val="000000"/>
                <w:sz w:val="18"/>
                <w:lang w:val="en-US" w:eastAsia="zh-CN"/>
              </w:rPr>
              <w:t>90%</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100%</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15</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15</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p>
        </w:tc>
      </w:tr>
      <w:tr>
        <w:tblPrEx>
          <w:tblCellMar>
            <w:top w:w="0" w:type="dxa"/>
            <w:left w:w="108" w:type="dxa"/>
            <w:bottom w:w="0" w:type="dxa"/>
            <w:right w:w="108" w:type="dxa"/>
          </w:tblCellMar>
        </w:tblPrEx>
        <w:trPr>
          <w:trHeight w:val="318"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097"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生态效益指标</w:t>
            </w: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63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满意度指标</w:t>
            </w:r>
          </w:p>
        </w:tc>
        <w:tc>
          <w:tcPr>
            <w:tcW w:w="5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10</w:t>
            </w:r>
          </w:p>
        </w:tc>
        <w:tc>
          <w:tcPr>
            <w:tcW w:w="2097"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满意度指标</w:t>
            </w:r>
          </w:p>
        </w:tc>
        <w:tc>
          <w:tcPr>
            <w:tcW w:w="125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指标1：社会公众满意度</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olor w:val="000000"/>
                <w:sz w:val="18"/>
              </w:rPr>
            </w:pPr>
            <w:r>
              <w:rPr>
                <w:rFonts w:hint="eastAsia" w:ascii="宋体" w:hAnsi="宋体"/>
                <w:color w:val="000000"/>
                <w:sz w:val="18"/>
              </w:rPr>
              <w:t>90%</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100%</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10</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10</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p>
        </w:tc>
      </w:tr>
      <w:tr>
        <w:tblPrEx>
          <w:tblCellMar>
            <w:top w:w="0" w:type="dxa"/>
            <w:left w:w="108" w:type="dxa"/>
            <w:bottom w:w="0" w:type="dxa"/>
            <w:right w:w="108" w:type="dxa"/>
          </w:tblCellMar>
        </w:tblPrEx>
        <w:trPr>
          <w:trHeight w:val="300" w:hRule="atLeast"/>
        </w:trPr>
        <w:tc>
          <w:tcPr>
            <w:tcW w:w="6487" w:type="dxa"/>
            <w:gridSpan w:val="11"/>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总分</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100</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hint="eastAsia" w:ascii="宋体" w:hAnsi="宋体" w:eastAsia="宋体"/>
                <w:color w:val="000000"/>
                <w:sz w:val="18"/>
                <w:lang w:eastAsia="zh-CN"/>
              </w:rPr>
            </w:pPr>
            <w:r>
              <w:rPr>
                <w:rFonts w:hint="eastAsia" w:ascii="宋体" w:hAnsi="宋体"/>
                <w:color w:val="000000"/>
                <w:sz w:val="18"/>
              </w:rPr>
              <w:t>9</w:t>
            </w:r>
            <w:r>
              <w:rPr>
                <w:rFonts w:hint="eastAsia" w:ascii="宋体" w:hAnsi="宋体"/>
                <w:color w:val="000000"/>
                <w:sz w:val="18"/>
                <w:lang w:val="en-US" w:eastAsia="zh-CN"/>
              </w:rPr>
              <w:t>8</w:t>
            </w:r>
            <w:bookmarkStart w:id="0" w:name="_GoBack"/>
            <w:bookmarkEnd w:id="0"/>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p>
        </w:tc>
      </w:tr>
      <w:tr>
        <w:tblPrEx>
          <w:tblCellMar>
            <w:top w:w="0" w:type="dxa"/>
            <w:left w:w="108" w:type="dxa"/>
            <w:bottom w:w="0" w:type="dxa"/>
            <w:right w:w="108" w:type="dxa"/>
          </w:tblCellMar>
        </w:tblPrEx>
        <w:trPr>
          <w:trHeight w:val="387" w:hRule="atLeast"/>
        </w:trPr>
        <w:tc>
          <w:tcPr>
            <w:tcW w:w="8946" w:type="dxa"/>
            <w:gridSpan w:val="14"/>
            <w:tcBorders>
              <w:top w:val="single" w:color="000000" w:sz="4" w:space="0"/>
              <w:left w:val="nil"/>
              <w:bottom w:val="nil"/>
              <w:right w:val="nil"/>
            </w:tcBorders>
            <w:vAlign w:val="center"/>
          </w:tcPr>
          <w:p>
            <w:pPr>
              <w:autoSpaceDN w:val="0"/>
              <w:spacing w:line="240" w:lineRule="exact"/>
              <w:jc w:val="left"/>
              <w:textAlignment w:val="center"/>
              <w:rPr>
                <w:rFonts w:hint="default" w:eastAsia="宋体"/>
                <w:sz w:val="18"/>
                <w:szCs w:val="18"/>
                <w:lang w:val="en-US" w:eastAsia="zh-CN"/>
              </w:rPr>
            </w:pPr>
            <w:r>
              <w:rPr>
                <w:rFonts w:hint="eastAsia"/>
                <w:sz w:val="18"/>
                <w:szCs w:val="18"/>
              </w:rPr>
              <w:t>填表人：</w:t>
            </w:r>
            <w:r>
              <w:rPr>
                <w:rFonts w:hint="eastAsia"/>
                <w:sz w:val="18"/>
                <w:szCs w:val="18"/>
                <w:lang w:eastAsia="zh-CN"/>
              </w:rPr>
              <w:t>龙云</w:t>
            </w:r>
            <w:r>
              <w:rPr>
                <w:rFonts w:hint="eastAsia"/>
                <w:sz w:val="18"/>
                <w:szCs w:val="18"/>
              </w:rPr>
              <w:t xml:space="preserve">                                联系电话：</w:t>
            </w:r>
            <w:r>
              <w:rPr>
                <w:rFonts w:hint="eastAsia"/>
                <w:sz w:val="18"/>
                <w:szCs w:val="18"/>
                <w:lang w:val="en-US" w:eastAsia="zh-CN"/>
              </w:rPr>
              <w:t>6832850</w:t>
            </w:r>
          </w:p>
        </w:tc>
      </w:tr>
      <w:tr>
        <w:tblPrEx>
          <w:tblCellMar>
            <w:top w:w="0" w:type="dxa"/>
            <w:left w:w="108" w:type="dxa"/>
            <w:bottom w:w="0" w:type="dxa"/>
            <w:right w:w="108" w:type="dxa"/>
          </w:tblCellMar>
        </w:tblPrEx>
        <w:trPr>
          <w:trHeight w:val="852" w:hRule="atLeast"/>
        </w:trPr>
        <w:tc>
          <w:tcPr>
            <w:tcW w:w="8946" w:type="dxa"/>
            <w:gridSpan w:val="14"/>
            <w:tcBorders>
              <w:top w:val="nil"/>
            </w:tcBorders>
          </w:tcPr>
          <w:p>
            <w:pPr>
              <w:autoSpaceDN w:val="0"/>
              <w:spacing w:line="240" w:lineRule="exact"/>
              <w:jc w:val="left"/>
              <w:textAlignment w:val="top"/>
              <w:rPr>
                <w:rFonts w:ascii="宋体" w:hAnsi="宋体"/>
                <w:color w:val="000000"/>
                <w:sz w:val="18"/>
              </w:rPr>
            </w:pPr>
            <w:r>
              <w:rPr>
                <w:rFonts w:hint="eastAsia" w:ascii="宋体" w:hAnsi="宋体"/>
                <w:color w:val="000000"/>
                <w:sz w:val="18"/>
              </w:rPr>
              <w:t>说明：1.预算部门按照附件3《部门整体支出绩效评价指标体系框架》（参考）设置三级指标和指标</w:t>
            </w:r>
            <w:r>
              <w:rPr>
                <w:rFonts w:hint="eastAsia" w:ascii="宋体" w:hAnsi="宋体"/>
                <w:color w:val="000000"/>
                <w:sz w:val="18"/>
              </w:rPr>
              <w:br w:type="textWrapping"/>
            </w:r>
            <w:r>
              <w:rPr>
                <w:rFonts w:hint="eastAsia" w:ascii="宋体" w:hAnsi="宋体"/>
                <w:color w:val="000000"/>
                <w:sz w:val="18"/>
              </w:rPr>
              <w:t xml:space="preserve">      2.上述产出指标和效益指标根据年初设定的绩效目标既可以按照重点任务完成情况分别填列，也可以依据所有重点任务归纳提炼综合指标。</w:t>
            </w:r>
          </w:p>
        </w:tc>
      </w:tr>
    </w:tbl>
    <w:tbl>
      <w:tblPr>
        <w:tblStyle w:val="6"/>
        <w:tblpPr w:leftFromText="180" w:rightFromText="180" w:vertAnchor="text" w:tblpX="10214" w:tblpY="-17020"/>
        <w:tblOverlap w:val="never"/>
        <w:tblW w:w="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86" w:type="dxa"/>
          </w:tcPr>
          <w:p>
            <w:pPr>
              <w:spacing w:line="240" w:lineRule="exact"/>
              <w:rPr>
                <w:rFonts w:ascii="仿宋" w:hAnsi="仿宋" w:eastAsia="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86" w:type="dxa"/>
          </w:tcPr>
          <w:p>
            <w:pPr>
              <w:spacing w:line="240" w:lineRule="exact"/>
              <w:rPr>
                <w:rFonts w:ascii="仿宋" w:hAnsi="仿宋" w:eastAsia="仿宋"/>
                <w:sz w:val="28"/>
                <w:szCs w:val="28"/>
                <w:vertAlign w:val="baseline"/>
              </w:rPr>
            </w:pPr>
          </w:p>
        </w:tc>
      </w:tr>
    </w:tbl>
    <w:p>
      <w:pPr>
        <w:spacing w:line="240" w:lineRule="exact"/>
        <w:ind w:firstLine="560" w:firstLineChars="200"/>
        <w:rPr>
          <w:rFonts w:ascii="仿宋" w:hAnsi="仿宋" w:eastAsia="仿宋"/>
          <w:sz w:val="28"/>
          <w:szCs w:val="28"/>
        </w:rPr>
      </w:pPr>
    </w:p>
    <w:p>
      <w:pPr>
        <w:spacing w:line="620" w:lineRule="exact"/>
        <w:rPr>
          <w:rFonts w:ascii="黑体" w:hAnsi="黑体" w:eastAsia="黑体"/>
          <w:sz w:val="32"/>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2"/>
      <w:ind w:firstLine="0" w:firstLineChars="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  </w:t>
    </w:r>
  </w:p>
  <w:p>
    <w:pPr>
      <w:pStyle w:val="8"/>
      <w:ind w:right="360"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F76BA"/>
    <w:rsid w:val="000C06F6"/>
    <w:rsid w:val="00243A9F"/>
    <w:rsid w:val="002A1688"/>
    <w:rsid w:val="00365F91"/>
    <w:rsid w:val="009C36FE"/>
    <w:rsid w:val="00B7082A"/>
    <w:rsid w:val="00B7317D"/>
    <w:rsid w:val="00B866C4"/>
    <w:rsid w:val="00CE3E04"/>
    <w:rsid w:val="00E823BE"/>
    <w:rsid w:val="0D9941D2"/>
    <w:rsid w:val="14DF7771"/>
    <w:rsid w:val="46E36C7D"/>
    <w:rsid w:val="4A7F3329"/>
    <w:rsid w:val="4F121CDB"/>
    <w:rsid w:val="569A61E5"/>
    <w:rsid w:val="60DF7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1 Char Char Char"/>
    <w:basedOn w:val="1"/>
    <w:qFormat/>
    <w:uiPriority w:val="0"/>
    <w:pPr>
      <w:spacing w:line="360" w:lineRule="auto"/>
      <w:ind w:firstLine="200" w:firstLineChars="200"/>
    </w:p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1091</Words>
  <Characters>1182</Characters>
  <Lines>7</Lines>
  <Paragraphs>2</Paragraphs>
  <TotalTime>62</TotalTime>
  <ScaleCrop>false</ScaleCrop>
  <LinksUpToDate>false</LinksUpToDate>
  <CharactersWithSpaces>1239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2021-03-01T08:58:00Z</dcterms:created>
  <dc:creator>不午休de貓</dc:creator>
  <cp:lastModifiedBy>龙云</cp:lastModifiedBy>
  <cp:lastPrinted>2021-04-29T07:41:00Z</cp:lastPrinted>
  <dcterms:modified xsi:type="dcterms:W3CDTF">2022-04-13T03:46:11Z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2F1135174CBB4A4894A79DD5D843DCCF</vt:lpwstr>
  </property>
</Properties>
</file>